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96" w:rsidRPr="00A22E3A" w:rsidRDefault="00C956C2" w:rsidP="00C956C2">
      <w:pPr>
        <w:jc w:val="center"/>
        <w:rPr>
          <w:rFonts w:asciiTheme="minorHAnsi" w:hAnsiTheme="minorHAnsi" w:cstheme="minorHAnsi"/>
          <w:b/>
          <w:color w:val="002060"/>
          <w:sz w:val="70"/>
          <w:szCs w:val="70"/>
        </w:rPr>
      </w:pPr>
      <w:r w:rsidRPr="00A22E3A">
        <w:rPr>
          <w:b/>
          <w:noProof/>
          <w:color w:val="002060"/>
          <w:sz w:val="70"/>
          <w:szCs w:val="7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4E16" wp14:editId="6CF46ADF">
                <wp:simplePos x="0" y="0"/>
                <wp:positionH relativeFrom="margin">
                  <wp:align>center</wp:align>
                </wp:positionH>
                <wp:positionV relativeFrom="paragraph">
                  <wp:posOffset>460830</wp:posOffset>
                </wp:positionV>
                <wp:extent cx="7214870" cy="38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487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FC69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56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" strokecolor="#1f4e79" strokeweight="1.5pt">
                <v:stroke joinstyle="miter"/>
                <w10:wrap anchorx="margin"/>
              </v:line>
            </w:pict>
          </mc:Fallback>
        </mc:AlternateContent>
      </w:r>
      <w:r w:rsidR="00A479D8" w:rsidRPr="00A22E3A">
        <w:rPr>
          <w:b/>
          <w:noProof/>
          <w:color w:val="002060"/>
          <w:sz w:val="70"/>
          <w:szCs w:val="70"/>
          <w:lang w:eastAsia="en-CA"/>
        </w:rPr>
        <w:t>A</w:t>
      </w:r>
      <w:r w:rsidR="003C728B">
        <w:rPr>
          <w:b/>
          <w:noProof/>
          <w:color w:val="002060"/>
          <w:sz w:val="70"/>
          <w:szCs w:val="70"/>
          <w:lang w:eastAsia="en-CA"/>
        </w:rPr>
        <w:t>ntecedent Strategies</w:t>
      </w:r>
    </w:p>
    <w:p w:rsidR="00EF0396" w:rsidRPr="00EF0396" w:rsidRDefault="00EF0396" w:rsidP="00EF039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83542" w:rsidRPr="00473A75" w:rsidTr="00F7244C">
        <w:tc>
          <w:tcPr>
            <w:tcW w:w="9340" w:type="dxa"/>
          </w:tcPr>
          <w:p w:rsidR="00883542" w:rsidRDefault="00883542" w:rsidP="00F65F89">
            <w:pPr>
              <w:jc w:val="center"/>
              <w:rPr>
                <w:rFonts w:asciiTheme="minorHAnsi" w:hAnsiTheme="minorHAnsi" w:cstheme="minorHAnsi"/>
              </w:rPr>
            </w:pPr>
            <w:r w:rsidRPr="00473A75">
              <w:rPr>
                <w:rFonts w:asciiTheme="minorHAnsi" w:hAnsiTheme="minorHAnsi" w:cstheme="minorHAnsi"/>
                <w:b/>
              </w:rPr>
              <w:br/>
            </w:r>
            <w:r w:rsidRPr="00055135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  <w:u w:val="single"/>
              </w:rPr>
              <w:t>Antecedent</w:t>
            </w:r>
            <w:r w:rsidRPr="00055135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</w:rPr>
              <w:t>:</w:t>
            </w:r>
            <w:r w:rsidRPr="00055135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>
              <w:t xml:space="preserve">an environmental event that occurs </w:t>
            </w:r>
            <w:r w:rsidRPr="00E76227">
              <w:rPr>
                <w:i/>
              </w:rPr>
              <w:t>before</w:t>
            </w:r>
            <w:r>
              <w:t xml:space="preserve"> </w:t>
            </w:r>
            <w:r w:rsidR="00551CA4">
              <w:t>a specific</w:t>
            </w:r>
            <w:r>
              <w:t xml:space="preserve"> behaviour </w:t>
            </w:r>
            <w:r w:rsidR="00551CA4">
              <w:br/>
            </w:r>
            <w:r w:rsidR="005C299E">
              <w:t xml:space="preserve">(Cooper, Heron, &amp; </w:t>
            </w:r>
            <w:proofErr w:type="spellStart"/>
            <w:r w:rsidR="005C299E">
              <w:t>Heward</w:t>
            </w:r>
            <w:proofErr w:type="spellEnd"/>
            <w:r w:rsidR="005C299E">
              <w:t>, 2007)</w:t>
            </w:r>
            <w:r w:rsidR="00991474">
              <w:t>.</w:t>
            </w:r>
          </w:p>
          <w:p w:rsidR="00883542" w:rsidRPr="00473A75" w:rsidRDefault="00883542" w:rsidP="00F65F89">
            <w:pPr>
              <w:rPr>
                <w:rFonts w:asciiTheme="minorHAnsi" w:hAnsiTheme="minorHAnsi" w:cstheme="minorHAnsi"/>
              </w:rPr>
            </w:pPr>
          </w:p>
        </w:tc>
      </w:tr>
    </w:tbl>
    <w:p w:rsidR="00883542" w:rsidRPr="006A3A25" w:rsidRDefault="00883542" w:rsidP="0088354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83542" w:rsidRPr="0014487A" w:rsidTr="001C52FD">
        <w:tc>
          <w:tcPr>
            <w:tcW w:w="9350" w:type="dxa"/>
            <w:shd w:val="clear" w:color="auto" w:fill="1F4E79" w:themeFill="accent1" w:themeFillShade="80"/>
          </w:tcPr>
          <w:p w:rsidR="00883542" w:rsidRPr="0014487A" w:rsidRDefault="004321E8" w:rsidP="00F65F8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52F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Why Are Antecedent Strategies Important?</w:t>
            </w:r>
          </w:p>
        </w:tc>
      </w:tr>
      <w:tr w:rsidR="00883542" w:rsidRPr="0014487A" w:rsidTr="00F65F89">
        <w:tc>
          <w:tcPr>
            <w:tcW w:w="9350" w:type="dxa"/>
          </w:tcPr>
          <w:p w:rsidR="00883542" w:rsidRPr="0014487A" w:rsidRDefault="004321E8" w:rsidP="00B363E8">
            <w:pPr>
              <w:jc w:val="center"/>
              <w:rPr>
                <w:rFonts w:asciiTheme="minorHAnsi" w:hAnsiTheme="minorHAnsi" w:cstheme="minorHAnsi"/>
              </w:rPr>
            </w:pPr>
            <w:r>
              <w:t>Antecedent strateg</w:t>
            </w:r>
            <w:r w:rsidR="00883B5C">
              <w:t xml:space="preserve">ies have effectively been used </w:t>
            </w:r>
            <w:r>
              <w:t>to prevent problem behaviour from occurring.</w:t>
            </w:r>
          </w:p>
        </w:tc>
      </w:tr>
    </w:tbl>
    <w:p w:rsidR="00883542" w:rsidRDefault="00883542" w:rsidP="0088354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636B" wp14:editId="6DE1D8BC">
                <wp:simplePos x="0" y="0"/>
                <wp:positionH relativeFrom="column">
                  <wp:posOffset>-2326640</wp:posOffset>
                </wp:positionH>
                <wp:positionV relativeFrom="paragraph">
                  <wp:posOffset>1924369</wp:posOffset>
                </wp:positionV>
                <wp:extent cx="2021261" cy="877372"/>
                <wp:effectExtent l="362585" t="18415" r="341630" b="368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21701">
                          <a:off x="0" y="0"/>
                          <a:ext cx="2021261" cy="877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542" w:rsidRPr="00A75196" w:rsidRDefault="00883542" w:rsidP="00883542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4472C4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196">
                              <w:rPr>
                                <w:rFonts w:cstheme="minorHAnsi"/>
                                <w:b/>
                                <w:color w:val="4472C4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ABC’s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63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3.2pt;margin-top:151.55pt;width:159.15pt;height:69.1pt;rotation:77787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" filled="f" stroked="f">
                <v:textbox>
                  <w:txbxContent>
                    <w:p w:rsidR="00883542" w:rsidRPr="00A75196" w:rsidRDefault="00883542" w:rsidP="00883542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4472C4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196">
                        <w:rPr>
                          <w:rFonts w:cstheme="minorHAnsi"/>
                          <w:b/>
                          <w:color w:val="4472C4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ABC’s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83542" w:rsidRPr="00250F73" w:rsidTr="001C52FD">
        <w:tc>
          <w:tcPr>
            <w:tcW w:w="9340" w:type="dxa"/>
            <w:shd w:val="clear" w:color="auto" w:fill="1F4E79" w:themeFill="accent1" w:themeFillShade="80"/>
          </w:tcPr>
          <w:p w:rsidR="00883542" w:rsidRPr="00250F73" w:rsidRDefault="004321E8" w:rsidP="00F65F8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52F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Types of Antecedent Strategies</w:t>
            </w:r>
          </w:p>
        </w:tc>
      </w:tr>
      <w:tr w:rsidR="00883542" w:rsidRPr="00250F73" w:rsidTr="001C52FD">
        <w:tc>
          <w:tcPr>
            <w:tcW w:w="9340" w:type="dxa"/>
            <w:shd w:val="clear" w:color="auto" w:fill="9CC2E5" w:themeFill="accent1" w:themeFillTint="99"/>
          </w:tcPr>
          <w:p w:rsidR="00883542" w:rsidRDefault="004321E8" w:rsidP="004321E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Manipulations</w:t>
            </w:r>
          </w:p>
        </w:tc>
      </w:tr>
      <w:tr w:rsidR="004321E8" w:rsidRPr="00250F73" w:rsidTr="00F65F89">
        <w:tc>
          <w:tcPr>
            <w:tcW w:w="9340" w:type="dxa"/>
          </w:tcPr>
          <w:p w:rsidR="00B355B9" w:rsidRDefault="00CF16BC" w:rsidP="00B355B9">
            <w:r>
              <w:t>A</w:t>
            </w:r>
            <w:r w:rsidR="000750D6">
              <w:t>djusting</w:t>
            </w:r>
            <w:r w:rsidR="00EF435E">
              <w:t xml:space="preserve"> or changing </w:t>
            </w:r>
            <w:r w:rsidR="000750D6">
              <w:t xml:space="preserve">variables in </w:t>
            </w:r>
            <w:r w:rsidR="00883B5C">
              <w:t>your child’s</w:t>
            </w:r>
            <w:r w:rsidR="000750D6">
              <w:t xml:space="preserve"> environment </w:t>
            </w:r>
            <w:r w:rsidR="00D74FFF">
              <w:t>can</w:t>
            </w:r>
            <w:r w:rsidR="00AA3EB8">
              <w:t xml:space="preserve"> help to</w:t>
            </w:r>
            <w:r>
              <w:t xml:space="preserve"> prevent </w:t>
            </w:r>
            <w:r w:rsidR="000750D6">
              <w:t xml:space="preserve">challenging behaviour.  </w:t>
            </w:r>
            <w:r w:rsidR="003852EA">
              <w:br/>
            </w:r>
            <w:r w:rsidR="005412F1">
              <w:br/>
            </w:r>
            <w:r w:rsidR="007E625B">
              <w:t>E.g. I</w:t>
            </w:r>
            <w:r w:rsidR="000750D6">
              <w:t xml:space="preserve">f you know that loud noises often cause </w:t>
            </w:r>
            <w:r w:rsidR="00883B5C">
              <w:t xml:space="preserve">your child to engage in problem behaviour </w:t>
            </w:r>
            <w:r w:rsidR="000750D6">
              <w:t xml:space="preserve">ensure </w:t>
            </w:r>
            <w:r w:rsidR="00883B5C">
              <w:t>that you provide a quiet space for the child in your home, and provide headphones the child can wear in potentially noisy environments</w:t>
            </w:r>
            <w:r w:rsidR="000750D6">
              <w:t xml:space="preserve">.  </w:t>
            </w:r>
          </w:p>
          <w:p w:rsidR="00B355B9" w:rsidRDefault="007E625B" w:rsidP="00B355B9">
            <w:r>
              <w:t>E.g. I</w:t>
            </w:r>
            <w:r w:rsidR="000750D6">
              <w:t xml:space="preserve">f your </w:t>
            </w:r>
            <w:r w:rsidR="00883B5C">
              <w:t xml:space="preserve">child </w:t>
            </w:r>
            <w:r w:rsidR="000750D6">
              <w:t xml:space="preserve">reliably aggresses towards another child when they get too close, ensure that they are never in a situation where they are alone together, ensure </w:t>
            </w:r>
            <w:r w:rsidR="00883B5C">
              <w:t xml:space="preserve">you are </w:t>
            </w:r>
            <w:r w:rsidR="000750D6">
              <w:t xml:space="preserve">positioned in between these children at all times.  </w:t>
            </w:r>
          </w:p>
          <w:p w:rsidR="004321E8" w:rsidRDefault="000750D6" w:rsidP="00883B5C">
            <w:r>
              <w:t xml:space="preserve">E.g. Your </w:t>
            </w:r>
            <w:r w:rsidR="00883B5C">
              <w:t>child</w:t>
            </w:r>
            <w:r>
              <w:t xml:space="preserve"> keeps getting into the cupboards at home, and takes out all of the pots and pans.  </w:t>
            </w:r>
            <w:r w:rsidR="00883B5C">
              <w:t>As a preventative measure, you can install locks on these cabinets</w:t>
            </w:r>
            <w:r w:rsidR="00FF673D">
              <w:t xml:space="preserve"> so the child does not have the opportunity to engage in this behaviour</w:t>
            </w:r>
            <w:r>
              <w:t xml:space="preserve">.   </w:t>
            </w:r>
          </w:p>
          <w:p w:rsidR="000704D3" w:rsidRDefault="000704D3" w:rsidP="00883B5C">
            <w:pPr>
              <w:rPr>
                <w:rFonts w:cstheme="minorHAnsi"/>
              </w:rPr>
            </w:pPr>
          </w:p>
        </w:tc>
      </w:tr>
      <w:tr w:rsidR="004321E8" w:rsidRPr="00250F73" w:rsidTr="001C52FD">
        <w:tc>
          <w:tcPr>
            <w:tcW w:w="9340" w:type="dxa"/>
            <w:shd w:val="clear" w:color="auto" w:fill="9CC2E5" w:themeFill="accent1" w:themeFillTint="99"/>
          </w:tcPr>
          <w:p w:rsidR="004321E8" w:rsidRDefault="004321E8" w:rsidP="004321E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Offering Choice</w:t>
            </w:r>
          </w:p>
        </w:tc>
      </w:tr>
      <w:tr w:rsidR="004321E8" w:rsidRPr="00250F73" w:rsidTr="00F65F89">
        <w:tc>
          <w:tcPr>
            <w:tcW w:w="9340" w:type="dxa"/>
          </w:tcPr>
          <w:p w:rsidR="00920A45" w:rsidRDefault="00594A04" w:rsidP="0094364E">
            <w:r>
              <w:t>You can provide choice to your child in so many different ways at home</w:t>
            </w:r>
            <w:r w:rsidR="0094364E">
              <w:t xml:space="preserve">.  </w:t>
            </w:r>
            <w:r w:rsidR="00E93C88">
              <w:br/>
              <w:t>Some examples in</w:t>
            </w:r>
            <w:r>
              <w:t xml:space="preserve">clude: </w:t>
            </w:r>
          </w:p>
          <w:p w:rsidR="00920A45" w:rsidRDefault="00920A45" w:rsidP="00920A45">
            <w:pPr>
              <w:pStyle w:val="ListParagraph"/>
              <w:numPr>
                <w:ilvl w:val="0"/>
                <w:numId w:val="7"/>
              </w:numPr>
            </w:pPr>
            <w:r>
              <w:t>Choice in clothing</w:t>
            </w:r>
            <w:r w:rsidR="00544763">
              <w:t xml:space="preserve"> (“Do you want to wear your pink sweater or your blue one?”)</w:t>
            </w:r>
          </w:p>
          <w:p w:rsidR="00920A45" w:rsidRDefault="00920A45" w:rsidP="00920A45">
            <w:pPr>
              <w:pStyle w:val="ListParagraph"/>
              <w:numPr>
                <w:ilvl w:val="0"/>
                <w:numId w:val="7"/>
              </w:numPr>
            </w:pPr>
            <w:r>
              <w:t>Choice in activity</w:t>
            </w:r>
            <w:r w:rsidR="00544763">
              <w:t xml:space="preserve"> (“Do you want to read the princess book or </w:t>
            </w:r>
            <w:r w:rsidR="008E6A29">
              <w:t>letter book</w:t>
            </w:r>
            <w:r w:rsidR="00544763">
              <w:t>?”)</w:t>
            </w:r>
          </w:p>
          <w:p w:rsidR="00920A45" w:rsidRDefault="00920A45" w:rsidP="00920A45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594A04">
              <w:t>hoice in order of</w:t>
            </w:r>
            <w:r w:rsidR="008E6A29">
              <w:t xml:space="preserve"> activities (“D</w:t>
            </w:r>
            <w:r>
              <w:t>o you want to get a bath or brush your teeth first?</w:t>
            </w:r>
            <w:r w:rsidR="008E6A29">
              <w:t>”</w:t>
            </w:r>
            <w:r>
              <w:t>)</w:t>
            </w:r>
          </w:p>
          <w:p w:rsidR="008F6D09" w:rsidRDefault="00CF6F98" w:rsidP="00920A45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3430026</wp:posOffset>
                  </wp:positionH>
                  <wp:positionV relativeFrom="paragraph">
                    <wp:posOffset>33832</wp:posOffset>
                  </wp:positionV>
                  <wp:extent cx="1628618" cy="108574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50x500_ehow_images_a05_4h_oq_teach-children-make-decision-800x8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18" cy="108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D09">
              <w:t>Choice in food (“Do you want a cracker or grapes?”)</w:t>
            </w:r>
          </w:p>
          <w:p w:rsidR="007545A2" w:rsidRDefault="007545A2" w:rsidP="007545A2"/>
          <w:p w:rsidR="000704D3" w:rsidRDefault="00594A04" w:rsidP="00920A45">
            <w:r>
              <w:t>Your child</w:t>
            </w:r>
            <w:r w:rsidR="0094364E">
              <w:t xml:space="preserve"> can express choice verbally, through </w:t>
            </w:r>
            <w:r w:rsidR="007545A2">
              <w:br/>
            </w:r>
            <w:r w:rsidR="0094364E">
              <w:t xml:space="preserve">picture exchange, sign language, gesture or eye </w:t>
            </w:r>
            <w:r w:rsidR="007545A2">
              <w:br/>
            </w:r>
            <w:r w:rsidR="0094364E">
              <w:t xml:space="preserve">gaze, depending on the level of </w:t>
            </w:r>
            <w:r>
              <w:t xml:space="preserve">understanding </w:t>
            </w:r>
            <w:r w:rsidR="007545A2">
              <w:br/>
            </w:r>
            <w:r>
              <w:t>for your child</w:t>
            </w:r>
            <w:r w:rsidR="0094364E">
              <w:t xml:space="preserve">.  </w:t>
            </w:r>
          </w:p>
          <w:p w:rsidR="004D6375" w:rsidRDefault="004D6375" w:rsidP="00920A45"/>
          <w:p w:rsidR="004321E8" w:rsidRDefault="004321E8" w:rsidP="002347A4">
            <w:pPr>
              <w:rPr>
                <w:rFonts w:cstheme="minorHAnsi"/>
              </w:rPr>
            </w:pPr>
          </w:p>
        </w:tc>
      </w:tr>
      <w:tr w:rsidR="004321E8" w:rsidRPr="00250F73" w:rsidTr="001C52FD">
        <w:tc>
          <w:tcPr>
            <w:tcW w:w="9340" w:type="dxa"/>
            <w:shd w:val="clear" w:color="auto" w:fill="9CC2E5" w:themeFill="accent1" w:themeFillTint="99"/>
          </w:tcPr>
          <w:p w:rsidR="004321E8" w:rsidRDefault="0094364E" w:rsidP="0094364E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Increasing Reinforcement</w:t>
            </w:r>
          </w:p>
        </w:tc>
      </w:tr>
      <w:tr w:rsidR="004321E8" w:rsidRPr="00250F73" w:rsidTr="00F65F89">
        <w:tc>
          <w:tcPr>
            <w:tcW w:w="9340" w:type="dxa"/>
          </w:tcPr>
          <w:p w:rsidR="00CD44A8" w:rsidRDefault="0094364E" w:rsidP="00CD44A8">
            <w:r>
              <w:t xml:space="preserve">Children </w:t>
            </w:r>
            <w:r w:rsidR="00650FA5">
              <w:t>may</w:t>
            </w:r>
            <w:r>
              <w:t xml:space="preserve"> engage in problem behaviour to receive attention from others, escape a task, access an item (</w:t>
            </w:r>
            <w:r w:rsidR="00106986">
              <w:t>E</w:t>
            </w:r>
            <w:r>
              <w:t>.g. toy/activity), or because the behaviour is internally reinforcing (sensory).</w:t>
            </w:r>
            <w:r w:rsidR="00F62DFC">
              <w:t xml:space="preserve">  To learn more about this, see the “Functions of Behaviour” handout.  </w:t>
            </w:r>
            <w:r w:rsidR="009C6324">
              <w:br/>
            </w:r>
            <w:r w:rsidR="009C6324">
              <w:br/>
            </w:r>
            <w:r>
              <w:t xml:space="preserve">When you know </w:t>
            </w:r>
            <w:r w:rsidRPr="00CD44A8">
              <w:rPr>
                <w:b/>
                <w:i/>
              </w:rPr>
              <w:t>why</w:t>
            </w:r>
            <w:r>
              <w:t xml:space="preserve"> </w:t>
            </w:r>
            <w:r w:rsidR="009E1EE1">
              <w:t>your child</w:t>
            </w:r>
            <w:r>
              <w:t xml:space="preserve"> is engaging in a particular behaviour, or what </w:t>
            </w:r>
            <w:r w:rsidR="009E1EE1">
              <w:t>your child</w:t>
            </w:r>
            <w:r>
              <w:t xml:space="preserve"> is trying to gain by engaging in this behaviour, you can provide th</w:t>
            </w:r>
            <w:bookmarkStart w:id="0" w:name="_GoBack"/>
            <w:bookmarkEnd w:id="0"/>
            <w:r>
              <w:t>at</w:t>
            </w:r>
            <w:r w:rsidR="00A54E2D">
              <w:t xml:space="preserve"> item/activity</w:t>
            </w:r>
            <w:r>
              <w:t xml:space="preserve"> </w:t>
            </w:r>
            <w:r w:rsidR="00A54E2D">
              <w:t xml:space="preserve">to </w:t>
            </w:r>
            <w:r w:rsidR="000704D3">
              <w:t>the child</w:t>
            </w:r>
            <w:r w:rsidR="00A54E2D">
              <w:t xml:space="preserve"> freely to prevent or </w:t>
            </w:r>
            <w:r>
              <w:t xml:space="preserve">reduce the </w:t>
            </w:r>
            <w:r w:rsidR="00F62DFC">
              <w:t>need</w:t>
            </w:r>
            <w:r>
              <w:t xml:space="preserve"> to engage in the problem behaviour </w:t>
            </w:r>
            <w:r w:rsidR="00142070">
              <w:br/>
            </w:r>
            <w:r>
              <w:t xml:space="preserve">(Cooper, Heron, &amp; </w:t>
            </w:r>
            <w:proofErr w:type="spellStart"/>
            <w:r>
              <w:t>Heward</w:t>
            </w:r>
            <w:proofErr w:type="spellEnd"/>
            <w:r>
              <w:t xml:space="preserve">, 2007).  </w:t>
            </w:r>
          </w:p>
          <w:p w:rsidR="00DB7276" w:rsidRDefault="00DB7276" w:rsidP="00CD44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  <w:gridCol w:w="4557"/>
            </w:tblGrid>
            <w:tr w:rsidR="000526E9" w:rsidTr="000526E9">
              <w:tc>
                <w:tcPr>
                  <w:tcW w:w="9114" w:type="dxa"/>
                  <w:gridSpan w:val="2"/>
                  <w:shd w:val="clear" w:color="auto" w:fill="1F4E79" w:themeFill="accent1" w:themeFillShade="80"/>
                </w:tcPr>
                <w:p w:rsidR="000526E9" w:rsidRPr="00864635" w:rsidRDefault="000526E9" w:rsidP="000526E9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64635">
                    <w:rPr>
                      <w:b/>
                      <w:color w:val="FFFFFF" w:themeColor="background1"/>
                      <w:sz w:val="26"/>
                      <w:szCs w:val="26"/>
                    </w:rPr>
                    <w:t>Ways to Increase Reinforcement</w:t>
                  </w:r>
                </w:p>
              </w:tc>
            </w:tr>
            <w:tr w:rsidR="00DB7276" w:rsidTr="00DB7276">
              <w:tc>
                <w:tcPr>
                  <w:tcW w:w="4557" w:type="dxa"/>
                  <w:shd w:val="clear" w:color="auto" w:fill="2E74B5" w:themeFill="accent1" w:themeFillShade="BF"/>
                </w:tcPr>
                <w:p w:rsidR="00DB7276" w:rsidRPr="001A3327" w:rsidRDefault="00DB7276" w:rsidP="00DB727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1A3327">
                    <w:rPr>
                      <w:b/>
                      <w:color w:val="FFFFFF" w:themeColor="background1"/>
                    </w:rPr>
                    <w:t>Praise/Attention</w:t>
                  </w:r>
                </w:p>
              </w:tc>
              <w:tc>
                <w:tcPr>
                  <w:tcW w:w="4557" w:type="dxa"/>
                  <w:shd w:val="clear" w:color="auto" w:fill="2E74B5" w:themeFill="accent1" w:themeFillShade="BF"/>
                </w:tcPr>
                <w:p w:rsidR="00DB7276" w:rsidRPr="001A3327" w:rsidRDefault="00DB7276" w:rsidP="00DB727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1A3327">
                    <w:rPr>
                      <w:b/>
                      <w:color w:val="FFFFFF" w:themeColor="background1"/>
                    </w:rPr>
                    <w:t>Offering a Transition Toy</w:t>
                  </w:r>
                </w:p>
              </w:tc>
            </w:tr>
            <w:tr w:rsidR="00DB7276" w:rsidTr="00C21458">
              <w:tc>
                <w:tcPr>
                  <w:tcW w:w="4557" w:type="dxa"/>
                  <w:shd w:val="clear" w:color="auto" w:fill="DEEAF6" w:themeFill="accent1" w:themeFillTint="33"/>
                </w:tcPr>
                <w:p w:rsidR="00DB7276" w:rsidRDefault="00DB7276" w:rsidP="001B29A5">
                  <w:r w:rsidRPr="004827A7">
                    <w:t xml:space="preserve">If </w:t>
                  </w:r>
                  <w:r w:rsidR="001B29A5">
                    <w:t>your child</w:t>
                  </w:r>
                  <w:r w:rsidRPr="004827A7">
                    <w:t xml:space="preserve"> enjoys receiving praise/attention from </w:t>
                  </w:r>
                  <w:r w:rsidR="001B29A5">
                    <w:t xml:space="preserve">you or his/her siblings, </w:t>
                  </w:r>
                  <w:r w:rsidRPr="004827A7">
                    <w:t xml:space="preserve">provide lots of praise </w:t>
                  </w:r>
                  <w:r>
                    <w:t xml:space="preserve">for appropriate behaviours </w:t>
                  </w:r>
                  <w:r w:rsidRPr="004827A7">
                    <w:t>as a preventative measure</w:t>
                  </w:r>
                  <w:r>
                    <w:t xml:space="preserve">.  </w:t>
                  </w:r>
                  <w:r w:rsidR="001B29A5">
                    <w:t>Your child will learn</w:t>
                  </w:r>
                  <w:r>
                    <w:t xml:space="preserve"> he/she does not need to engage in problem behaviour to gain attention from others, he/she is already freely getting </w:t>
                  </w:r>
                  <w:r w:rsidR="001B29A5">
                    <w:t>the praise and attention they crave!</w:t>
                  </w:r>
                </w:p>
              </w:tc>
              <w:tc>
                <w:tcPr>
                  <w:tcW w:w="4557" w:type="dxa"/>
                  <w:shd w:val="clear" w:color="auto" w:fill="DEEAF6" w:themeFill="accent1" w:themeFillTint="33"/>
                </w:tcPr>
                <w:p w:rsidR="0095440F" w:rsidRDefault="0095440F" w:rsidP="0095440F">
                  <w:r>
                    <w:t xml:space="preserve">This is a strategy for children who do not like to transition from room-to-room or place to place.  </w:t>
                  </w:r>
                  <w:r w:rsidR="00B65104">
                    <w:t xml:space="preserve">You can offer your child a “transition toy” or a toy they can play with during </w:t>
                  </w:r>
                  <w:r>
                    <w:t>that transition</w:t>
                  </w:r>
                  <w:r w:rsidR="00181293">
                    <w:t xml:space="preserve"> (E</w:t>
                  </w:r>
                  <w:r w:rsidR="00B65104">
                    <w:t>.g. from play time to bath time, from home to school)</w:t>
                  </w:r>
                  <w:r>
                    <w:t>.  The child can</w:t>
                  </w:r>
                  <w:r w:rsidR="00DB7276">
                    <w:t xml:space="preserve"> play with </w:t>
                  </w:r>
                  <w:r>
                    <w:t xml:space="preserve">the toy while walking to prevent problem behaviour. </w:t>
                  </w:r>
                  <w:r w:rsidR="005E3E33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31"/>
                  </w:tblGrid>
                  <w:tr w:rsidR="005E3E33" w:rsidTr="00591F36">
                    <w:tc>
                      <w:tcPr>
                        <w:tcW w:w="4331" w:type="dxa"/>
                        <w:shd w:val="clear" w:color="auto" w:fill="9CC2E5" w:themeFill="accent1" w:themeFillTint="99"/>
                      </w:tcPr>
                      <w:p w:rsidR="005E3E33" w:rsidRPr="005E3E33" w:rsidRDefault="005E3E33" w:rsidP="00D426E2">
                        <w:pPr>
                          <w:jc w:val="center"/>
                          <w:rPr>
                            <w:b/>
                          </w:rPr>
                        </w:pPr>
                        <w:r w:rsidRPr="005E3E33">
                          <w:rPr>
                            <w:b/>
                          </w:rPr>
                          <w:t>*</w:t>
                        </w:r>
                        <w:r w:rsidR="00D426E2">
                          <w:rPr>
                            <w:b/>
                          </w:rPr>
                          <w:t>Please Note</w:t>
                        </w:r>
                        <w:r w:rsidRPr="005E3E33">
                          <w:rPr>
                            <w:b/>
                          </w:rPr>
                          <w:t>*</w:t>
                        </w:r>
                      </w:p>
                    </w:tc>
                  </w:tr>
                  <w:tr w:rsidR="005E3E33" w:rsidTr="005E3E33">
                    <w:tc>
                      <w:tcPr>
                        <w:tcW w:w="4331" w:type="dxa"/>
                      </w:tcPr>
                      <w:p w:rsidR="005E3E33" w:rsidRDefault="005E3E33" w:rsidP="005E3E33">
                        <w:r>
                          <w:t xml:space="preserve">This is different from getting the toy as a </w:t>
                        </w:r>
                        <w:r>
                          <w:br/>
                          <w:t xml:space="preserve">way to bribe/motivate them to transition </w:t>
                        </w:r>
                        <w:r w:rsidRPr="00A25AE4">
                          <w:rPr>
                            <w:b/>
                            <w:i/>
                          </w:rPr>
                          <w:t>after</w:t>
                        </w:r>
                        <w:r>
                          <w:t xml:space="preserve"> they have engaged in problem behaviour!</w:t>
                        </w:r>
                      </w:p>
                    </w:tc>
                  </w:tr>
                </w:tbl>
                <w:p w:rsidR="00DB7276" w:rsidRDefault="00DB7276" w:rsidP="005E3E33"/>
              </w:tc>
            </w:tr>
          </w:tbl>
          <w:p w:rsidR="004321E8" w:rsidRPr="00CD44A8" w:rsidRDefault="0094364E" w:rsidP="00DB7276">
            <w:pPr>
              <w:rPr>
                <w:rFonts w:cstheme="minorBidi"/>
              </w:rPr>
            </w:pPr>
            <w:r>
              <w:t xml:space="preserve"> </w:t>
            </w:r>
          </w:p>
        </w:tc>
      </w:tr>
      <w:tr w:rsidR="004321E8" w:rsidRPr="00250F73" w:rsidTr="001C52FD">
        <w:tc>
          <w:tcPr>
            <w:tcW w:w="9340" w:type="dxa"/>
            <w:shd w:val="clear" w:color="auto" w:fill="9CC2E5" w:themeFill="accent1" w:themeFillTint="99"/>
          </w:tcPr>
          <w:p w:rsidR="004321E8" w:rsidRDefault="0094364E" w:rsidP="0094364E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Functional Communication</w:t>
            </w:r>
          </w:p>
        </w:tc>
      </w:tr>
      <w:tr w:rsidR="004321E8" w:rsidRPr="00250F73" w:rsidTr="004321E8">
        <w:tc>
          <w:tcPr>
            <w:tcW w:w="9340" w:type="dxa"/>
            <w:shd w:val="clear" w:color="auto" w:fill="FFFFFF" w:themeFill="background1"/>
          </w:tcPr>
          <w:p w:rsidR="00FF2DAB" w:rsidRDefault="00A2125A" w:rsidP="00FF2DAB">
            <w:r>
              <w:t>You can teach your child to</w:t>
            </w:r>
            <w:r w:rsidR="0094364E">
              <w:t xml:space="preserve"> appropriately communicate (verbally, through picture communication, sign language or gesture) what they want to compete with problem behaviours (Cooper, Heron, &amp; </w:t>
            </w:r>
            <w:proofErr w:type="spellStart"/>
            <w:r w:rsidR="0094364E">
              <w:t>Heward</w:t>
            </w:r>
            <w:proofErr w:type="spellEnd"/>
            <w:r w:rsidR="0094364E">
              <w:t xml:space="preserve">, 2007). </w:t>
            </w:r>
          </w:p>
          <w:p w:rsidR="00FF2DAB" w:rsidRDefault="0094364E" w:rsidP="00FF2DAB">
            <w:pPr>
              <w:pStyle w:val="ListParagraph"/>
              <w:numPr>
                <w:ilvl w:val="0"/>
                <w:numId w:val="6"/>
              </w:numPr>
            </w:pPr>
            <w:r w:rsidRPr="00AF5466">
              <w:t xml:space="preserve">Teaching </w:t>
            </w:r>
            <w:r w:rsidR="00A2125A">
              <w:t>your child</w:t>
            </w:r>
            <w:r w:rsidRPr="00AF5466">
              <w:t xml:space="preserve"> how to ask for a </w:t>
            </w:r>
            <w:r w:rsidRPr="006F54AA">
              <w:rPr>
                <w:b/>
              </w:rPr>
              <w:t>break</w:t>
            </w:r>
            <w:r w:rsidR="00A2125A">
              <w:t xml:space="preserve"> (“Break”, gives parent a card that says Break)</w:t>
            </w:r>
          </w:p>
          <w:p w:rsidR="00FF2DAB" w:rsidRDefault="0094364E" w:rsidP="00FF2DAB">
            <w:pPr>
              <w:pStyle w:val="ListParagraph"/>
              <w:numPr>
                <w:ilvl w:val="0"/>
                <w:numId w:val="6"/>
              </w:numPr>
            </w:pPr>
            <w:r w:rsidRPr="00AF5466">
              <w:t xml:space="preserve">Teaching </w:t>
            </w:r>
            <w:r w:rsidR="00A2125A">
              <w:t>your child</w:t>
            </w:r>
            <w:r w:rsidRPr="00AF5466">
              <w:t xml:space="preserve"> to ask for </w:t>
            </w:r>
            <w:r w:rsidRPr="006F54AA">
              <w:rPr>
                <w:b/>
              </w:rPr>
              <w:t>attention</w:t>
            </w:r>
            <w:r w:rsidR="00A2125A">
              <w:t xml:space="preserve"> (“Look!”/”Excuse me”, tap on leg, </w:t>
            </w:r>
            <w:proofErr w:type="spellStart"/>
            <w:r w:rsidR="00A2125A">
              <w:t>etc</w:t>
            </w:r>
            <w:proofErr w:type="spellEnd"/>
            <w:r w:rsidR="00A2125A">
              <w:t>)</w:t>
            </w:r>
          </w:p>
          <w:p w:rsidR="0094364E" w:rsidRDefault="0094364E" w:rsidP="00FF2DAB">
            <w:pPr>
              <w:pStyle w:val="ListParagraph"/>
              <w:numPr>
                <w:ilvl w:val="0"/>
                <w:numId w:val="6"/>
              </w:numPr>
            </w:pPr>
            <w:r w:rsidRPr="00AF5466">
              <w:t xml:space="preserve">Teaching </w:t>
            </w:r>
            <w:r w:rsidR="00A2125A">
              <w:t>your child</w:t>
            </w:r>
            <w:r w:rsidRPr="00AF5466">
              <w:t xml:space="preserve"> to ask for a </w:t>
            </w:r>
            <w:r w:rsidRPr="006F54AA">
              <w:rPr>
                <w:b/>
              </w:rPr>
              <w:t>toy/activity</w:t>
            </w:r>
            <w:r w:rsidRPr="00AF5466">
              <w:t xml:space="preserve"> </w:t>
            </w:r>
            <w:r w:rsidR="00A2125A">
              <w:t>(“I want the iPad”, gives parent picture of iPad)</w:t>
            </w:r>
          </w:p>
          <w:p w:rsidR="004321E8" w:rsidRDefault="00B44783" w:rsidP="002F29B5">
            <w:pPr>
              <w:jc w:val="center"/>
              <w:rPr>
                <w:rFonts w:cstheme="minorHAnsi"/>
              </w:rPr>
            </w:pPr>
            <w:r w:rsidRPr="00B44783">
              <w:drawing>
                <wp:inline distT="0" distB="0" distL="0" distR="0" wp14:anchorId="6560DF90" wp14:editId="166F020E">
                  <wp:extent cx="3846114" cy="1333402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319" cy="133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E17" w:rsidRDefault="00883542" w:rsidP="00883542">
      <w:r>
        <w:rPr>
          <w:b/>
        </w:rPr>
        <w:lastRenderedPageBreak/>
        <w:br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83542" w:rsidRPr="00250F73" w:rsidTr="001C52FD">
        <w:tc>
          <w:tcPr>
            <w:tcW w:w="9340" w:type="dxa"/>
            <w:shd w:val="clear" w:color="auto" w:fill="1F4E79" w:themeFill="accent1" w:themeFillShade="80"/>
          </w:tcPr>
          <w:p w:rsidR="00883542" w:rsidRPr="00250F73" w:rsidRDefault="00C14A5F" w:rsidP="00F65F8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52F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References</w:t>
            </w:r>
          </w:p>
        </w:tc>
      </w:tr>
      <w:tr w:rsidR="00883542" w:rsidRPr="00250F73" w:rsidTr="00F65F89">
        <w:tc>
          <w:tcPr>
            <w:tcW w:w="9340" w:type="dxa"/>
          </w:tcPr>
          <w:p w:rsidR="00F47C03" w:rsidRDefault="00F47C03" w:rsidP="00C14A5F">
            <w:pPr>
              <w:ind w:left="720" w:hanging="720"/>
              <w:rPr>
                <w:rFonts w:asciiTheme="minorHAnsi" w:hAnsiTheme="minorHAnsi" w:cstheme="minorHAnsi"/>
              </w:rPr>
            </w:pPr>
          </w:p>
          <w:p w:rsidR="00C14A5F" w:rsidRPr="001417E4" w:rsidRDefault="00C14A5F" w:rsidP="00C14A5F">
            <w:pPr>
              <w:ind w:left="720" w:hanging="720"/>
              <w:rPr>
                <w:rFonts w:asciiTheme="minorHAnsi" w:hAnsiTheme="minorHAnsi" w:cstheme="minorHAnsi"/>
              </w:rPr>
            </w:pPr>
            <w:r w:rsidRPr="001417E4">
              <w:rPr>
                <w:rFonts w:asciiTheme="minorHAnsi" w:hAnsiTheme="minorHAnsi" w:cstheme="minorHAnsi"/>
              </w:rPr>
              <w:t xml:space="preserve">Cooper, J. O., Heron, T. E., &amp; </w:t>
            </w:r>
            <w:proofErr w:type="spellStart"/>
            <w:r w:rsidRPr="001417E4">
              <w:rPr>
                <w:rFonts w:asciiTheme="minorHAnsi" w:hAnsiTheme="minorHAnsi" w:cstheme="minorHAnsi"/>
              </w:rPr>
              <w:t>Heward</w:t>
            </w:r>
            <w:proofErr w:type="spellEnd"/>
            <w:r w:rsidRPr="001417E4">
              <w:rPr>
                <w:rFonts w:asciiTheme="minorHAnsi" w:hAnsiTheme="minorHAnsi" w:cstheme="minorHAnsi"/>
              </w:rPr>
              <w:t xml:space="preserve">, W. L. (2007). </w:t>
            </w:r>
            <w:r w:rsidRPr="001417E4">
              <w:rPr>
                <w:rFonts w:asciiTheme="minorHAnsi" w:hAnsiTheme="minorHAnsi" w:cstheme="minorHAnsi"/>
                <w:i/>
              </w:rPr>
              <w:t>Applied behavior analysis</w:t>
            </w:r>
            <w:r w:rsidRPr="001417E4">
              <w:rPr>
                <w:rFonts w:asciiTheme="minorHAnsi" w:hAnsiTheme="minorHAnsi" w:cstheme="minorHAnsi"/>
              </w:rPr>
              <w:t xml:space="preserve"> (2nd ed.).  Upper Saddle River, NJ: Pearson Education, Inc. </w:t>
            </w:r>
            <w:r w:rsidRPr="001417E4">
              <w:rPr>
                <w:rFonts w:asciiTheme="minorHAnsi" w:hAnsiTheme="minorHAnsi" w:cstheme="minorHAnsi"/>
              </w:rPr>
              <w:br/>
            </w:r>
          </w:p>
          <w:p w:rsidR="00C14A5F" w:rsidRPr="001417E4" w:rsidRDefault="00C14A5F" w:rsidP="00C14A5F">
            <w:pPr>
              <w:ind w:left="720" w:hanging="720"/>
            </w:pPr>
            <w:proofErr w:type="spellStart"/>
            <w:r w:rsidRPr="001417E4">
              <w:t>Reutebuch</w:t>
            </w:r>
            <w:proofErr w:type="spellEnd"/>
            <w:r w:rsidRPr="001417E4">
              <w:t xml:space="preserve">, C. K., </w:t>
            </w:r>
            <w:proofErr w:type="spellStart"/>
            <w:r w:rsidRPr="001417E4">
              <w:t>Zein</w:t>
            </w:r>
            <w:proofErr w:type="spellEnd"/>
            <w:r w:rsidRPr="001417E4">
              <w:t xml:space="preserve">, F. E., &amp; Roberts, G. J. (2015). A systematic review of the effects of choice on academic outcomes for students with autism spectrum disorder. </w:t>
            </w:r>
            <w:r w:rsidRPr="001417E4">
              <w:rPr>
                <w:i/>
              </w:rPr>
              <w:t>Research in Autism Spectrum Disorders, 20</w:t>
            </w:r>
            <w:r w:rsidRPr="001417E4">
              <w:t xml:space="preserve">, 1-16. </w:t>
            </w:r>
          </w:p>
          <w:p w:rsidR="00883542" w:rsidRDefault="00883542" w:rsidP="00C14A5F">
            <w:pPr>
              <w:pStyle w:val="ListParagraph"/>
              <w:rPr>
                <w:rFonts w:cstheme="minorHAnsi"/>
              </w:rPr>
            </w:pPr>
          </w:p>
        </w:tc>
      </w:tr>
    </w:tbl>
    <w:p w:rsidR="00A479D8" w:rsidRDefault="00A479D8" w:rsidP="00905CC9"/>
    <w:p w:rsidR="00C97E10" w:rsidRDefault="00C97E10" w:rsidP="00E76227">
      <w:pPr>
        <w:ind w:left="720" w:hanging="720"/>
        <w:rPr>
          <w:rFonts w:asciiTheme="minorHAnsi" w:hAnsiTheme="minorHAnsi" w:cstheme="minorHAnsi"/>
        </w:rPr>
      </w:pPr>
    </w:p>
    <w:p w:rsidR="00EF0396" w:rsidRPr="004928A5" w:rsidRDefault="00EF0396" w:rsidP="00EF0396">
      <w:pPr>
        <w:rPr>
          <w:rFonts w:ascii="Century Gothic" w:hAnsi="Century Gothic"/>
          <w:sz w:val="20"/>
          <w:szCs w:val="20"/>
        </w:rPr>
      </w:pPr>
    </w:p>
    <w:p w:rsidR="00FF1245" w:rsidRPr="006441E1" w:rsidRDefault="00EF0396" w:rsidP="00EF0396">
      <w:pPr>
        <w:rPr>
          <w:color w:val="89AD37"/>
        </w:rPr>
      </w:pPr>
      <w:r>
        <w:rPr>
          <w:rFonts w:ascii="Century Gothic" w:hAnsi="Century Gothic"/>
          <w:sz w:val="20"/>
          <w:szCs w:val="20"/>
        </w:rPr>
        <w:t xml:space="preserve">                               </w:t>
      </w:r>
      <w:r>
        <w:rPr>
          <w:rFonts w:ascii="Century Gothic" w:hAnsi="Century Gothic"/>
          <w:sz w:val="20"/>
          <w:szCs w:val="20"/>
        </w:rPr>
        <w:br/>
      </w:r>
    </w:p>
    <w:sectPr w:rsidR="00FF1245" w:rsidRPr="006441E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13" w:rsidRDefault="00B16D13" w:rsidP="00B16D13">
      <w:r>
        <w:separator/>
      </w:r>
    </w:p>
  </w:endnote>
  <w:endnote w:type="continuationSeparator" w:id="0">
    <w:p w:rsidR="00B16D13" w:rsidRDefault="00B16D13" w:rsidP="00B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13" w:rsidRDefault="00B16D1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-1869440</wp:posOffset>
          </wp:positionV>
          <wp:extent cx="7767888" cy="2495517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_LetterheadFooter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86" cy="251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13" w:rsidRDefault="00B16D13" w:rsidP="00B16D13">
      <w:r>
        <w:separator/>
      </w:r>
    </w:p>
  </w:footnote>
  <w:footnote w:type="continuationSeparator" w:id="0">
    <w:p w:rsidR="00B16D13" w:rsidRDefault="00B16D13" w:rsidP="00B1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13" w:rsidRDefault="00B16D1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-125730</wp:posOffset>
          </wp:positionV>
          <wp:extent cx="1762125" cy="58210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_CMYK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8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836"/>
    <w:multiLevelType w:val="hybridMultilevel"/>
    <w:tmpl w:val="B4CA5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92D"/>
    <w:multiLevelType w:val="hybridMultilevel"/>
    <w:tmpl w:val="806E8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151F"/>
    <w:multiLevelType w:val="hybridMultilevel"/>
    <w:tmpl w:val="FF7CF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8D5"/>
    <w:multiLevelType w:val="hybridMultilevel"/>
    <w:tmpl w:val="E7EE5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1637"/>
    <w:multiLevelType w:val="hybridMultilevel"/>
    <w:tmpl w:val="D6E6F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0B3C"/>
    <w:multiLevelType w:val="hybridMultilevel"/>
    <w:tmpl w:val="62C21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0E21"/>
    <w:multiLevelType w:val="hybridMultilevel"/>
    <w:tmpl w:val="37EC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3"/>
    <w:rsid w:val="000317A7"/>
    <w:rsid w:val="00034D6C"/>
    <w:rsid w:val="000526E9"/>
    <w:rsid w:val="00055135"/>
    <w:rsid w:val="000572F0"/>
    <w:rsid w:val="000704D3"/>
    <w:rsid w:val="000750D6"/>
    <w:rsid w:val="00086D00"/>
    <w:rsid w:val="000935DA"/>
    <w:rsid w:val="000B0114"/>
    <w:rsid w:val="000D0451"/>
    <w:rsid w:val="000F5781"/>
    <w:rsid w:val="00106986"/>
    <w:rsid w:val="001200C3"/>
    <w:rsid w:val="00122D39"/>
    <w:rsid w:val="00130EBF"/>
    <w:rsid w:val="001417E4"/>
    <w:rsid w:val="00142070"/>
    <w:rsid w:val="00181293"/>
    <w:rsid w:val="001A3327"/>
    <w:rsid w:val="001B29A5"/>
    <w:rsid w:val="001C52FD"/>
    <w:rsid w:val="001D7169"/>
    <w:rsid w:val="002347A4"/>
    <w:rsid w:val="002620D1"/>
    <w:rsid w:val="00274C61"/>
    <w:rsid w:val="002941F6"/>
    <w:rsid w:val="00296BE7"/>
    <w:rsid w:val="002A257B"/>
    <w:rsid w:val="002D6C2A"/>
    <w:rsid w:val="002F29B5"/>
    <w:rsid w:val="0030797A"/>
    <w:rsid w:val="00313B90"/>
    <w:rsid w:val="00380873"/>
    <w:rsid w:val="003852EA"/>
    <w:rsid w:val="003A21BE"/>
    <w:rsid w:val="003C728B"/>
    <w:rsid w:val="003E1607"/>
    <w:rsid w:val="004321E8"/>
    <w:rsid w:val="00434C5B"/>
    <w:rsid w:val="00440097"/>
    <w:rsid w:val="0045009B"/>
    <w:rsid w:val="004647E4"/>
    <w:rsid w:val="00475AD8"/>
    <w:rsid w:val="004827A7"/>
    <w:rsid w:val="00492211"/>
    <w:rsid w:val="004D6375"/>
    <w:rsid w:val="004E3ECD"/>
    <w:rsid w:val="005412F1"/>
    <w:rsid w:val="00544763"/>
    <w:rsid w:val="00551CA4"/>
    <w:rsid w:val="00563AB4"/>
    <w:rsid w:val="00567F47"/>
    <w:rsid w:val="00571470"/>
    <w:rsid w:val="0057610E"/>
    <w:rsid w:val="005779D7"/>
    <w:rsid w:val="005866A8"/>
    <w:rsid w:val="00591F36"/>
    <w:rsid w:val="00594A04"/>
    <w:rsid w:val="005C299E"/>
    <w:rsid w:val="005C41A0"/>
    <w:rsid w:val="005C7F83"/>
    <w:rsid w:val="005E3E33"/>
    <w:rsid w:val="006010DC"/>
    <w:rsid w:val="00601FF2"/>
    <w:rsid w:val="006441E1"/>
    <w:rsid w:val="00650FA5"/>
    <w:rsid w:val="0068641F"/>
    <w:rsid w:val="006A5E0A"/>
    <w:rsid w:val="006E159C"/>
    <w:rsid w:val="006F54AA"/>
    <w:rsid w:val="007003C6"/>
    <w:rsid w:val="0074120D"/>
    <w:rsid w:val="007545A2"/>
    <w:rsid w:val="00786E17"/>
    <w:rsid w:val="007E625B"/>
    <w:rsid w:val="00802758"/>
    <w:rsid w:val="0081005C"/>
    <w:rsid w:val="00817A19"/>
    <w:rsid w:val="00864635"/>
    <w:rsid w:val="00883542"/>
    <w:rsid w:val="00883B5C"/>
    <w:rsid w:val="008840DA"/>
    <w:rsid w:val="008D145F"/>
    <w:rsid w:val="008E6A29"/>
    <w:rsid w:val="008F6D09"/>
    <w:rsid w:val="00905CC9"/>
    <w:rsid w:val="00913E06"/>
    <w:rsid w:val="00920A45"/>
    <w:rsid w:val="00920D34"/>
    <w:rsid w:val="0094364E"/>
    <w:rsid w:val="0095440F"/>
    <w:rsid w:val="00960417"/>
    <w:rsid w:val="00991474"/>
    <w:rsid w:val="00995F16"/>
    <w:rsid w:val="009C6324"/>
    <w:rsid w:val="009E1EE1"/>
    <w:rsid w:val="00A2125A"/>
    <w:rsid w:val="00A22E3A"/>
    <w:rsid w:val="00A25AE4"/>
    <w:rsid w:val="00A479D8"/>
    <w:rsid w:val="00A54E2D"/>
    <w:rsid w:val="00A60F3E"/>
    <w:rsid w:val="00AA1FFA"/>
    <w:rsid w:val="00AA3EB8"/>
    <w:rsid w:val="00AB7430"/>
    <w:rsid w:val="00AC0936"/>
    <w:rsid w:val="00AE3418"/>
    <w:rsid w:val="00AF2455"/>
    <w:rsid w:val="00AF5466"/>
    <w:rsid w:val="00B11A61"/>
    <w:rsid w:val="00B16D13"/>
    <w:rsid w:val="00B355B9"/>
    <w:rsid w:val="00B363E8"/>
    <w:rsid w:val="00B37CB3"/>
    <w:rsid w:val="00B44783"/>
    <w:rsid w:val="00B65104"/>
    <w:rsid w:val="00BB371C"/>
    <w:rsid w:val="00BB4278"/>
    <w:rsid w:val="00C01E52"/>
    <w:rsid w:val="00C070FD"/>
    <w:rsid w:val="00C14A5F"/>
    <w:rsid w:val="00C21458"/>
    <w:rsid w:val="00C956C2"/>
    <w:rsid w:val="00C97E10"/>
    <w:rsid w:val="00CD44A8"/>
    <w:rsid w:val="00CF16BC"/>
    <w:rsid w:val="00CF6F98"/>
    <w:rsid w:val="00D04D7F"/>
    <w:rsid w:val="00D426E2"/>
    <w:rsid w:val="00D74FFF"/>
    <w:rsid w:val="00D751F7"/>
    <w:rsid w:val="00D84C19"/>
    <w:rsid w:val="00DB7276"/>
    <w:rsid w:val="00DC3245"/>
    <w:rsid w:val="00DD6CD3"/>
    <w:rsid w:val="00DE0389"/>
    <w:rsid w:val="00DF1EEF"/>
    <w:rsid w:val="00E76227"/>
    <w:rsid w:val="00E80F55"/>
    <w:rsid w:val="00E93C88"/>
    <w:rsid w:val="00EA7074"/>
    <w:rsid w:val="00ED1C1C"/>
    <w:rsid w:val="00EF0396"/>
    <w:rsid w:val="00EF435E"/>
    <w:rsid w:val="00F02C5A"/>
    <w:rsid w:val="00F244B5"/>
    <w:rsid w:val="00F47C03"/>
    <w:rsid w:val="00F62DFC"/>
    <w:rsid w:val="00F7244C"/>
    <w:rsid w:val="00F75ADF"/>
    <w:rsid w:val="00FB16AF"/>
    <w:rsid w:val="00FD3DCF"/>
    <w:rsid w:val="00FE5A7A"/>
    <w:rsid w:val="00FE6C04"/>
    <w:rsid w:val="00FF1245"/>
    <w:rsid w:val="00FF2DAB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4239B"/>
  <w15:chartTrackingRefBased/>
  <w15:docId w15:val="{8AB8B16B-32DB-4C1C-917F-FB3A374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A"/>
  </w:style>
  <w:style w:type="paragraph" w:styleId="Heading1">
    <w:name w:val="heading 1"/>
    <w:basedOn w:val="Normal"/>
    <w:next w:val="Normal"/>
    <w:link w:val="Heading1Char"/>
    <w:qFormat/>
    <w:rsid w:val="008840DA"/>
    <w:pPr>
      <w:keepNext/>
      <w:outlineLvl w:val="0"/>
    </w:pPr>
    <w:rPr>
      <w:rFonts w:ascii="Arial Black" w:hAnsi="Arial Black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8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0DA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840DA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8840DA"/>
    <w:pPr>
      <w:spacing w:after="0" w:line="200" w:lineRule="atLeast"/>
    </w:pPr>
    <w:rPr>
      <w:rFonts w:ascii="Arial" w:hAnsi="Arial"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8840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40DA"/>
    <w:rPr>
      <w:rFonts w:ascii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8840DA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Cs w:val="20"/>
    </w:rPr>
  </w:style>
  <w:style w:type="character" w:customStyle="1" w:styleId="bolditalic1">
    <w:name w:val="bold_italic1"/>
    <w:rsid w:val="008840DA"/>
    <w:rPr>
      <w:rFonts w:ascii="Verdana" w:hAnsi="Verdana" w:hint="default"/>
      <w:b/>
      <w:bCs/>
      <w:i/>
      <w:iCs/>
      <w:color w:val="797979"/>
      <w:sz w:val="18"/>
      <w:szCs w:val="18"/>
    </w:rPr>
  </w:style>
  <w:style w:type="character" w:customStyle="1" w:styleId="header1">
    <w:name w:val="header1"/>
    <w:rsid w:val="008840DA"/>
    <w:rPr>
      <w:rFonts w:ascii="Calibri" w:hAnsi="Calibri" w:hint="default"/>
      <w:color w:val="5F5F5F"/>
      <w:sz w:val="33"/>
      <w:szCs w:val="33"/>
    </w:rPr>
  </w:style>
  <w:style w:type="paragraph" w:customStyle="1" w:styleId="Default">
    <w:name w:val="Default"/>
    <w:rsid w:val="008840DA"/>
    <w:pPr>
      <w:autoSpaceDE w:val="0"/>
      <w:autoSpaceDN w:val="0"/>
      <w:adjustRightInd w:val="0"/>
    </w:pPr>
    <w:rPr>
      <w:rFonts w:ascii="Georgia" w:hAnsi="Georgia" w:cs="Georgia"/>
      <w:color w:val="000000"/>
      <w:lang w:eastAsia="en-CA"/>
    </w:rPr>
  </w:style>
  <w:style w:type="paragraph" w:customStyle="1" w:styleId="Pa0">
    <w:name w:val="Pa0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8840DA"/>
    <w:rPr>
      <w:rFonts w:cs="Georgia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840DA"/>
    <w:rPr>
      <w:rFonts w:ascii="Arial Black" w:hAnsi="Arial Black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840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0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840DA"/>
    <w:rPr>
      <w:b/>
      <w:sz w:val="28"/>
    </w:rPr>
  </w:style>
  <w:style w:type="paragraph" w:styleId="Header">
    <w:name w:val="header"/>
    <w:basedOn w:val="Normal"/>
    <w:link w:val="HeaderChar"/>
    <w:rsid w:val="00884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84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40DA"/>
    <w:rPr>
      <w:rFonts w:ascii="Arial" w:hAnsi="Arial" w:cs="Arial"/>
      <w:sz w:val="96"/>
    </w:rPr>
  </w:style>
  <w:style w:type="paragraph" w:styleId="Title">
    <w:name w:val="Title"/>
    <w:basedOn w:val="Normal"/>
    <w:next w:val="Subtitle"/>
    <w:link w:val="TitleChar"/>
    <w:qFormat/>
    <w:rsid w:val="008840DA"/>
    <w:pPr>
      <w:keepNext/>
      <w:keepLines/>
      <w:spacing w:after="280" w:line="340" w:lineRule="exact"/>
      <w:ind w:left="835" w:right="480"/>
    </w:pPr>
    <w:rPr>
      <w:rFonts w:ascii="Arial Black" w:hAnsi="Arial Black"/>
      <w:spacing w:val="-2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40DA"/>
    <w:rPr>
      <w:rFonts w:ascii="Arial Black" w:hAnsi="Arial Black"/>
      <w:spacing w:val="-20"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8840DA"/>
    <w:pPr>
      <w:spacing w:after="60"/>
      <w:jc w:val="center"/>
      <w:outlineLvl w:val="1"/>
    </w:pPr>
    <w:rPr>
      <w:rFonts w:ascii="Arial" w:eastAsiaTheme="minorEastAsia" w:hAnsi="Arial" w:cs="Arial"/>
    </w:rPr>
  </w:style>
  <w:style w:type="character" w:customStyle="1" w:styleId="SubtitleChar">
    <w:name w:val="Subtitle Char"/>
    <w:basedOn w:val="DefaultParagraphFont"/>
    <w:link w:val="Subtitle"/>
    <w:rsid w:val="008840DA"/>
    <w:rPr>
      <w:rFonts w:ascii="Arial" w:eastAsiaTheme="minorEastAsia" w:hAnsi="Arial" w:cs="Arial"/>
    </w:rPr>
  </w:style>
  <w:style w:type="paragraph" w:styleId="BodyTextIndent">
    <w:name w:val="Body Text Indent"/>
    <w:basedOn w:val="Normal"/>
    <w:link w:val="BodyTextIndentChar"/>
    <w:rsid w:val="008840DA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840D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40D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8840DA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8840D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840DA"/>
    <w:rPr>
      <w:color w:val="0000FF"/>
      <w:u w:val="single"/>
    </w:rPr>
  </w:style>
  <w:style w:type="character" w:styleId="Emphasis">
    <w:name w:val="Emphasis"/>
    <w:qFormat/>
    <w:rsid w:val="008840DA"/>
    <w:rPr>
      <w:rFonts w:ascii="Arial Black" w:hAnsi="Arial Black"/>
      <w:spacing w:val="-10"/>
    </w:rPr>
  </w:style>
  <w:style w:type="paragraph" w:styleId="NormalWeb">
    <w:name w:val="Normal (Web)"/>
    <w:basedOn w:val="Normal"/>
    <w:rsid w:val="008840DA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semiHidden/>
    <w:rsid w:val="0088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40DA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0451"/>
    <w:pPr>
      <w:tabs>
        <w:tab w:val="left" w:leader="underscore" w:pos="720"/>
      </w:tabs>
    </w:pPr>
    <w:rPr>
      <w:rFonts w:eastAsia="Calibri"/>
      <w:noProof/>
      <w:szCs w:val="22"/>
    </w:rPr>
  </w:style>
  <w:style w:type="paragraph" w:styleId="ListParagraph">
    <w:name w:val="List Paragraph"/>
    <w:basedOn w:val="Normal"/>
    <w:uiPriority w:val="34"/>
    <w:qFormat/>
    <w:rsid w:val="00EF0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8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KidsAbility Centre for Child Development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Giorgio</dc:creator>
  <cp:keywords/>
  <dc:description/>
  <cp:lastModifiedBy>Lauren McDonald</cp:lastModifiedBy>
  <cp:revision>191</cp:revision>
  <cp:lastPrinted>2018-01-05T16:30:00Z</cp:lastPrinted>
  <dcterms:created xsi:type="dcterms:W3CDTF">2018-01-11T15:59:00Z</dcterms:created>
  <dcterms:modified xsi:type="dcterms:W3CDTF">2018-04-09T21:55:00Z</dcterms:modified>
</cp:coreProperties>
</file>